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Susa Svelata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 – Giornate Europee del Patrimonio 2026</w:t>
      </w:r>
    </w:p>
    <w:p w:rsidR="00000000" w:rsidDel="00000000" w:rsidP="00000000" w:rsidRDefault="00000000" w:rsidRPr="00000000" w14:paraId="00000002">
      <w:pPr>
        <w:spacing w:after="480" w:lineRule="auto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«Le meraviglie di Segusio»: una serata tra i cantieri dell’antica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32"/>
          <w:szCs w:val="32"/>
          <w:rtl w:val="0"/>
        </w:rPr>
        <w:t xml:space="preserve">Segusio</w:t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occasione delle Giornate Europee del Patrimonio 2026, dedicate al tema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Archeologia in corso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Susa Svelata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le visite guidate serali nel centro storico di Susa, arricchite da interventi teatrali, propone domenica 14 giugno 2026 un appuntamento speciale: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Le meraviglie di Segusio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una serata dedicata ai cantieri aperti della città e alle scoperte che stanno riscrivendo la storia dell’antica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Segusio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Il percorso, con partenza alle ore 20.00 e alle ore 21.00 dal cortile del Castello di Adelaide, si snoderà per circa un’ora e mezza attraverso tre luoghi solitamente inaccessibili al pubblico: gli scavi del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praetorium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; i depositi del Castello di Adelaide, dove saranno presentati i materiali emersi durante il recente restauro del Teatro Civico, tra cui i frammenti di intonaco dipinto con motivi floreali della cosiddetta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domus delle rose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; la Cattedrale di San Giusto, il cui cantiere di restauro sarà eccezionalmente aperto, con visita al cantiere della cripta.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occasione delle Giornate Europee del Patrimonio, il percorso sarà arricchito dalla presenza straordinaria dei funzionari della Soprintendenza Archeologia Belle Arti e Paesaggio per la Città Metropolitana di Torino. Lo staff scientifico del Museo guiderà il pubblico attraverso gli scavi del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praetorium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e i depositi con i frammenti della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domus delle rose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mentre la dott.ssa Rocchietti, funzionario della Soprintendenza, presenterà al pubblico le ultime evidenze emerse dagli scavi della cripta della Cattedrale.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Gli spostamenti tra le sedi saranno animati dagli attori della compagnia DDT — Disagiata Distilleria Teatrale — che affiancano il progetto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Susa Svelata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sin dalla sua nascita con interventi narrativi capaci di restituire vita e voce ai luoghi attraversati.</w:t>
      </w:r>
    </w:p>
    <w:p w:rsidR="00000000" w:rsidDel="00000000" w:rsidP="00000000" w:rsidRDefault="00000000" w:rsidRPr="00000000" w14:paraId="00000007">
      <w:pPr>
        <w:spacing w:after="48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partire dalle ore 19.00 sarà possibile partecipare a un aperitivo con prodotti del territorio nella sala conferenze del Museo.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lineRule="auto"/>
        <w:rPr>
          <w:b w:val="1"/>
          <w:bCs w:val="1"/>
          <w:color w:val="5555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L’evento è realizzato in collaborazione con la Soprintendenza Archeologia Belle Arti e Paesaggio per la Città Metropolitana di Torino, il Centro Culturale Diocesano, Associazione Artemide, Associazione Revejo, Pro Loco di Susa.</w:t>
      </w:r>
    </w:p>
    <w:p w:rsidR="00000000" w:rsidDel="00000000" w:rsidP="00000000" w:rsidRDefault="00000000" w:rsidRPr="00000000" w14:paraId="0000000B">
      <w:pPr>
        <w:jc w:val="both"/>
        <w:rPr>
          <w:rFonts w:ascii="Georgia" w:cs="Georgia" w:eastAsia="Georgia" w:hAnsi="Georgia"/>
          <w:i w:val="1"/>
          <w:iCs w:val="1"/>
          <w:color w:val="55555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>
          <w:b w:val="1"/>
          <w:bCs w:val="1"/>
          <w:color w:val="555555"/>
        </w:rPr>
      </w:pPr>
      <w:r w:rsidDel="00000000" w:rsidR="00000000" w:rsidRPr="00000000">
        <w:rPr>
          <w:b w:val="1"/>
          <w:bCs w:val="1"/>
          <w:color w:val="555555"/>
          <w:rtl w:val="0"/>
        </w:rPr>
        <w:t xml:space="preserve">BIGLIETTI</w:t>
      </w:r>
    </w:p>
    <w:p w:rsidR="00000000" w:rsidDel="00000000" w:rsidP="00000000" w:rsidRDefault="00000000" w:rsidRPr="00000000" w14:paraId="0000000D">
      <w:pPr>
        <w:spacing w:after="6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Visita con aperitivo</w:t>
      </w:r>
    </w:p>
    <w:p w:rsidR="00000000" w:rsidDel="00000000" w:rsidP="00000000" w:rsidRDefault="00000000" w:rsidRPr="00000000" w14:paraId="0000000E">
      <w:pPr>
        <w:spacing w:after="1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Intero € 25 · Ridotto 8–16 anni € 15 · Residenti Susa / Abbonamento Musei € 20</w:t>
      </w:r>
    </w:p>
    <w:p w:rsidR="00000000" w:rsidDel="00000000" w:rsidP="00000000" w:rsidRDefault="00000000" w:rsidRPr="00000000" w14:paraId="0000000F">
      <w:pPr>
        <w:spacing w:after="6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Visita guidata</w:t>
      </w:r>
    </w:p>
    <w:p w:rsidR="00000000" w:rsidDel="00000000" w:rsidP="00000000" w:rsidRDefault="00000000" w:rsidRPr="00000000" w14:paraId="00000010">
      <w:pPr>
        <w:spacing w:after="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Intero € 15 · Ridotto 8–16 anni € 5 · Residenti Susa / Abbonamento Musei € 10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8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20" w:lineRule="auto"/>
        <w:rPr>
          <w:b w:val="1"/>
          <w:bCs w:val="1"/>
          <w:color w:val="555555"/>
        </w:rPr>
      </w:pPr>
      <w:r w:rsidDel="00000000" w:rsidR="00000000" w:rsidRPr="00000000">
        <w:rPr>
          <w:b w:val="1"/>
          <w:bCs w:val="1"/>
          <w:color w:val="555555"/>
          <w:rtl w:val="0"/>
        </w:rPr>
        <w:t xml:space="preserve">PRENOTAZIONE OBBLIGATORIA</w:t>
      </w:r>
    </w:p>
    <w:p w:rsidR="00000000" w:rsidDel="00000000" w:rsidP="00000000" w:rsidRDefault="00000000" w:rsidRPr="00000000" w14:paraId="00000013">
      <w:pPr>
        <w:spacing w:after="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Tel. 351 3078654</w:t>
      </w:r>
    </w:p>
    <w:p w:rsidR="00000000" w:rsidDel="00000000" w:rsidP="00000000" w:rsidRDefault="00000000" w:rsidRPr="00000000" w14:paraId="00000014">
      <w:pPr>
        <w:spacing w:after="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castellosusa@gmail.com</w:t>
      </w:r>
    </w:p>
    <w:p w:rsidR="00000000" w:rsidDel="00000000" w:rsidP="00000000" w:rsidRDefault="00000000" w:rsidRPr="00000000" w14:paraId="00000015">
      <w:pPr>
        <w:spacing w:after="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Castello di Adelaide, Via Impero Romano – Susa</w:t>
      </w:r>
    </w:p>
    <w:p w:rsidR="00000000" w:rsidDel="00000000" w:rsidP="00000000" w:rsidRDefault="00000000" w:rsidRPr="00000000" w14:paraId="00000016">
      <w:pPr>
        <w:spacing w:after="4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@castellosusa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INFORMAZIONI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Castello di Adelaide – Museo Civico della Città di Susa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 Impero Romano – Susa (TO)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castello@comune.susa.to.it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@castellosusa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1.5"/>
        <w:gridCol w:w="4821.5"/>
        <w:tblGridChange w:id="0">
          <w:tblGrid>
            <w:gridCol w:w="4821.5"/>
            <w:gridCol w:w="4821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.0000000000002" w:top="1440.0000000000002" w:left="1133.8582677165355" w:right="1133.8582677165355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9048750</wp:posOffset>
          </wp:positionV>
          <wp:extent cx="7434263" cy="2108084"/>
          <wp:effectExtent b="0" l="0" r="0" t="0"/>
          <wp:wrapTopAndBottom distB="114300" distT="11430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4263" cy="210808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-141.73228346456688" w:right="-149.5275590551165" w:hanging="1133.8582677165355"/>
      <w:rPr/>
    </w:pPr>
    <w:r w:rsidDel="00000000" w:rsidR="00000000" w:rsidRPr="00000000">
      <w:rPr/>
      <w:drawing>
        <wp:inline distB="57150" distT="57150" distL="57150" distR="57150">
          <wp:extent cx="7635977" cy="144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57" r="557" t="0"/>
                  <a:stretch>
                    <a:fillRect/>
                  </a:stretch>
                </pic:blipFill>
                <pic:spPr>
                  <a:xfrm>
                    <a:off x="0" y="0"/>
                    <a:ext cx="7635977" cy="144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0" distB="57150" distT="57150" distL="57150" distR="57150" hidden="0" layoutInCell="1" locked="0" relativeHeight="0" simplePos="0">
          <wp:simplePos x="0" y="0"/>
          <wp:positionH relativeFrom="page">
            <wp:posOffset>-15711</wp:posOffset>
          </wp:positionH>
          <wp:positionV relativeFrom="page">
            <wp:posOffset>-28574</wp:posOffset>
          </wp:positionV>
          <wp:extent cx="7595101" cy="2157413"/>
          <wp:effectExtent b="0" l="0" r="0" t="0"/>
          <wp:wrapTopAndBottom distB="57150" distT="5715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9" l="0" r="0" t="69"/>
                  <a:stretch>
                    <a:fillRect/>
                  </a:stretch>
                </pic:blipFill>
                <pic:spPr>
                  <a:xfrm>
                    <a:off x="0" y="0"/>
                    <a:ext cx="7595101" cy="21574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anchor allowOverlap="1" behindDoc="0" distB="57150" distT="57150" distL="57150" distR="57150" hidden="0" layoutInCell="1" locked="0" relativeHeight="0" simplePos="0">
          <wp:simplePos x="0" y="0"/>
          <wp:positionH relativeFrom="page">
            <wp:posOffset>-15712</wp:posOffset>
          </wp:positionH>
          <wp:positionV relativeFrom="page">
            <wp:posOffset>-66674</wp:posOffset>
          </wp:positionV>
          <wp:extent cx="7595101" cy="2157413"/>
          <wp:effectExtent b="0" l="0" r="0" t="0"/>
          <wp:wrapTopAndBottom distB="57150" distT="5715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9" l="0" r="0" t="69"/>
                  <a:stretch>
                    <a:fillRect/>
                  </a:stretch>
                </pic:blipFill>
                <pic:spPr>
                  <a:xfrm>
                    <a:off x="0" y="0"/>
                    <a:ext cx="7595101" cy="21574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