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Il Castello di Adelaide apre la stagione 2026: </w:t>
      </w:r>
    </w:p>
    <w:p w:rsidR="00000000" w:rsidDel="00000000" w:rsidP="00000000" w:rsidRDefault="00000000" w:rsidRPr="00000000" w14:paraId="00000002">
      <w:pPr>
        <w:spacing w:line="276" w:lineRule="auto"/>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la storia dei Savoia torna a Susa</w:t>
      </w:r>
    </w:p>
    <w:p w:rsidR="00000000" w:rsidDel="00000000" w:rsidP="00000000" w:rsidRDefault="00000000" w:rsidRPr="00000000" w14:paraId="00000003">
      <w:pPr>
        <w:spacing w:line="276"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Venerdì 3 aprile la nuova mostra </w:t>
      </w:r>
    </w:p>
    <w:p w:rsidR="00000000" w:rsidDel="00000000" w:rsidP="00000000" w:rsidRDefault="00000000" w:rsidRPr="00000000" w14:paraId="00000004">
      <w:pPr>
        <w:spacing w:line="276"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che integra reperti francesi e collezione permanente</w:t>
      </w:r>
    </w:p>
    <w:p w:rsidR="00000000" w:rsidDel="00000000" w:rsidP="00000000" w:rsidRDefault="00000000" w:rsidRPr="00000000" w14:paraId="0000000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Susa, marzo 2026 — Apre il 3 aprile 2026 al Castello di Adelaide - Museo Civico della città di Susa la mostra “I Savoia. Mille anni di storia e potere”, scelta per inaugurare la stagione di apertura al pubblico del castello per il 2026. L’esposizione, visitabile fino al 24 maggio 2026, presenta per la prima volta in Italia la collezione di Savoie.live, associazione con sede ad Annecy che da anni conserva e valorizza un patrimonio di grande rilievo storico legato alla dinastia sabauda.</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Tutto inizia da un matrimonio: quello tra Adelaide, contessa di Torino e signora di Susa, e Oddone di Savoia. Un’unione che aprì alla Casa di Savoia le porte d’Europa, e segnò per sempre la storia di questo territorio. È da quel momento, nell’XI secolo, che il castello che porta il nome di Adelaide diventa il punto di partenza naturale per raccontare una dinastia che avrebbe governato le Alpi per mille anni. La mostra temporanea prolunga, approfondisce e arricchisce questa narrazione attraverso la collezione permanente del Museo Civico di Susa, restituendo al visitatore un percorso unitario tra storia locale e storia europea.</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Curata da Stefano Paschero e Claude Duffur, la mostra si articola in sei nuclei tematici che esplorano il potere sabaudo nelle sue forme più concrete e riconoscibili: la cartografia come strumento politico, la legittimità dinastica, il diritto e l’amministrazione dello Stato, la forza militare e il Risorgimento, la devozione religiosa come identità sociale, la cultura come eredità viva. Tra carte geografiche olandesi del Seicento e Settecento, sigilli medievali in bronzo, codici giuridici, sciabole, libri d’ore miniati, croci alpine in oro e argento, ritratti di sovrani e partiture musicali,  in mostra saranno visibili oltre quaranta documenti e oggetti originali che abbracciano otto secoli di storia europea. Il percorso si prolunga nelle sale permanenti del museo, dove la collezione racconta la stessa storia dal punto di vista del territorio: dalla figura di Adelaide di Susa alle testimonianze delle fortificazioni alpine, dalla statua del principe Eugenio di Savoia-Carignano alla bandiera risorgimentale, il museo stesso diventa parte integrante dell’esposizione.</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Savoia. Mille anni di storia e potere” è realizzato in accordo di partenariato tra il Museo Civico di Susa, Pro Loco di Susa APS, Savoie.live, Revejo e Artemide, con il patrocinio della Città di Susa. La mostra rientra nel programma culturale previsto dalla L.R. 11/2018 nell’ambito del Torneo Storico dei Borghi di Susa, evento in graduatoria per il triennio 2025–2027.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Il castello non è uno spazio qualsiasi: è uno dei luoghi in cui la storia dei Savoia è realmente iniziata. Qui visse Adelaide, signora di Susa e figura chiave dell’XI secolo,  il suo matrimonio con Oddone di Savoia segnò l’ingresso della dinastia sabauda nella scena europea. Questo rende la mostra “immersiva”: non racconta la storia in astratto, ma nel luogo stesso in cui è nata.</w:t>
      </w:r>
    </w:p>
    <w:p w:rsidR="00000000" w:rsidDel="00000000" w:rsidP="00000000" w:rsidRDefault="00000000" w:rsidRPr="00000000" w14:paraId="0000000C">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 collaborazione con partner francesi (come le collezioni provenienti dalla Savoia) è fondamentale perché i Savoia sono una dinastia transalpina, non solo italiana ed il loro potere si sviluppa proprio tra Piemonte e territori oggi francesi.</w:t>
      </w:r>
    </w:p>
    <w:p w:rsidR="00000000" w:rsidDel="00000000" w:rsidP="00000000" w:rsidRDefault="00000000" w:rsidRPr="00000000" w14:paraId="0000000D">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Questa cooperazione internazionale rende l’evento più ricco e sottolinea il ruolo storico della valle e in particolare la Città di Susa come zona di connessione europea.</w:t>
      </w:r>
    </w:p>
    <w:p w:rsidR="00000000" w:rsidDel="00000000" w:rsidP="00000000" w:rsidRDefault="00000000" w:rsidRPr="00000000" w14:paraId="0000000E">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 mostra non arriva quindi  “da fuori” ma nasce da una storia che a Susa è cominciata davvero.</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Cinzia Valerio, Assessore alla Cultura, Politiche Educative e scolastiche della Città di Susa</w:t>
      </w:r>
    </w:p>
    <w:p w:rsidR="00000000" w:rsidDel="00000000" w:rsidP="00000000" w:rsidRDefault="00000000" w:rsidRPr="00000000" w14:paraId="00000010">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Questo progetto nasce dalla collaborazione concreta tra enti e partner che hanno lavorato con un obiettivo comune: portare a Susa una mostra di qualità che si integrasse in modo organico con la collezione permanente del museo. Il risultato è un percorso che parte da Adelaide — protagonista della storia di questo territorio e del castello che la ospita — e si estende attraverso mille anni di storia sabauda, restituendo al visitatore una narrazione unitaria tra mostra temporanea e collezione permanente. Un esempio di come la collaborazione tra istituzioni diverse possa produrre cultura di valore per il territorio.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Stefano Paschero, Direttore del Museo Civico di Susa</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Le mura del Castello di Adelaide tornano a farsi scenario di un dialogo che supera i confini alpini. Si rinnova quest’anno la collaborazione tra la Pro Loco di Susa e l’associazione francese Savoie.live ,  un legame nato lo scorso anno proprio in occasione del Torneo Storico dei Borghi.</w:t>
      </w:r>
    </w:p>
    <w:p w:rsidR="00000000" w:rsidDel="00000000" w:rsidP="00000000" w:rsidRDefault="00000000" w:rsidRPr="00000000" w14:paraId="00000015">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Quella sinergia, scaturita dalla scelta della Savoia come tema portante dell’edizione 2025, ha dato vita a un ponte culturale che oggi continua a crescere. In questo percorso, la Pro Loco di Susa si conferma una realtà sempre pronta a farsi motore di nuovi scambi, capace di trasformare le tradizioni in occasioni di incontro internazionale e di valorizzazione del territorio.</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Questa mostra non è solo un’esposizione, ma il racconto di un’amicizia tra due terre che, oggi come ieri, continuano a parlare la stessa lingua attraverso l’arte e la storia.</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Salvatore Sabato, Presidente Associazione Pro Susa</w:t>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mostra sarà inaugurata venerdì 3 aprile 2026 alle ore 17.00. All’evento interverranno i rappresentanti dei partner coinvolti nel progetto. La mostra è visitabile il venerdì, sabato e domenica dalle 14.00 alle 18.00, con apertura straordinaria lunedì 6 aprile 2026 (Pasquetta) nei medesimi orari. L’ingresso è incluso nel biglietto di accesso al castello.</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Savoia. Mille anni di storia e potere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Castello di Adelaide — Museo Civico della città di Susa</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aprile – 24 maggio 2026</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Venerdì, sabato e domenica, ore 14.00 - 18.00</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Apertura straordinaria: lunedì 6 aprile 2026</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Informazioni: castello@comune.susa.to.it</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Prenotazioni visite: castellosusa@gmail.com</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Didattica e scuole: didatticacastellosusa@gmail.com</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Instagram e Facebook @castellosusa</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20" w:hRule="atLeast"/>
          <w:tblHeader w:val="0"/>
        </w:trPr>
        <w:tc>
          <w:tcPr>
            <w:gridSpan w:val="2"/>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color w:val="1d2129"/>
                <w:rtl w:val="0"/>
              </w:rPr>
              <w:t xml:space="preserve">Contatti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hd w:fill="ffffff" w:val="clear"/>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i w:val="1"/>
                <w:iCs w:val="1"/>
                <w:rtl w:val="0"/>
              </w:rPr>
              <w:t xml:space="preserve">Museo Civico Castello di Adelaide</w:t>
            </w:r>
            <w:r w:rsidDel="00000000" w:rsidR="00000000" w:rsidRPr="00000000">
              <w:rPr>
                <w:rtl w:val="0"/>
              </w:rPr>
            </w:r>
          </w:p>
          <w:p w:rsidR="00000000" w:rsidDel="00000000" w:rsidP="00000000" w:rsidRDefault="00000000" w:rsidRPr="00000000" w14:paraId="00000029">
            <w:pPr>
              <w:widowControl w:val="0"/>
              <w:shd w:fill="ffffff" w:val="clear"/>
              <w:spacing w:line="240" w:lineRule="auto"/>
              <w:jc w:val="center"/>
              <w:rPr>
                <w:rFonts w:ascii="Montserrat" w:cs="Montserrat" w:eastAsia="Montserrat" w:hAnsi="Montserrat"/>
                <w:i w:val="1"/>
                <w:iCs w:val="1"/>
                <w:highlight w:val="yellow"/>
              </w:rPr>
            </w:pPr>
            <w:r w:rsidDel="00000000" w:rsidR="00000000" w:rsidRPr="00000000">
              <w:rPr>
                <w:rFonts w:ascii="Montserrat" w:cs="Montserrat" w:eastAsia="Montserrat" w:hAnsi="Montserrat"/>
                <w:i w:val="1"/>
                <w:iCs w:val="1"/>
                <w:color w:val="1155cc"/>
                <w:highlight w:val="white"/>
                <w:rtl w:val="0"/>
              </w:rPr>
              <w:t xml:space="preserve">castello@comune.susa.to.it</w:t>
            </w:r>
            <w:r w:rsidDel="00000000" w:rsidR="00000000" w:rsidRPr="00000000">
              <w:rPr>
                <w:rtl w:val="0"/>
              </w:rPr>
            </w:r>
          </w:p>
          <w:p w:rsidR="00000000" w:rsidDel="00000000" w:rsidP="00000000" w:rsidRDefault="00000000" w:rsidRPr="00000000" w14:paraId="0000002A">
            <w:pPr>
              <w:widowControl w:val="0"/>
              <w:spacing w:line="240" w:lineRule="auto"/>
              <w:jc w:val="center"/>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hd w:fill="ffffff" w:val="clear"/>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i w:val="1"/>
                <w:iCs w:val="1"/>
                <w:rtl w:val="0"/>
              </w:rPr>
              <w:t xml:space="preserve">Ufficio Stampa Revejo</w:t>
            </w:r>
            <w:r w:rsidDel="00000000" w:rsidR="00000000" w:rsidRPr="00000000">
              <w:rPr>
                <w:rtl w:val="0"/>
              </w:rPr>
            </w:r>
          </w:p>
          <w:p w:rsidR="00000000" w:rsidDel="00000000" w:rsidP="00000000" w:rsidRDefault="00000000" w:rsidRPr="00000000" w14:paraId="0000002C">
            <w:pPr>
              <w:widowControl w:val="0"/>
              <w:shd w:fill="ffffff" w:val="clear"/>
              <w:spacing w:line="240" w:lineRule="auto"/>
              <w:jc w:val="center"/>
              <w:rPr>
                <w:rFonts w:ascii="Montserrat" w:cs="Montserrat" w:eastAsia="Montserrat" w:hAnsi="Montserrat"/>
                <w:sz w:val="24"/>
                <w:szCs w:val="24"/>
              </w:rPr>
            </w:pPr>
            <w:hyperlink r:id="rId6">
              <w:r w:rsidDel="00000000" w:rsidR="00000000" w:rsidRPr="00000000">
                <w:rPr>
                  <w:rFonts w:ascii="Montserrat" w:cs="Montserrat" w:eastAsia="Montserrat" w:hAnsi="Montserrat"/>
                  <w:i w:val="1"/>
                  <w:iCs w:val="1"/>
                  <w:color w:val="0000ff"/>
                  <w:u w:val="single"/>
                  <w:rtl w:val="0"/>
                </w:rPr>
                <w:t xml:space="preserve">ufficiostampa@borgatedalvivo.it</w:t>
              </w:r>
            </w:hyperlink>
            <w:r w:rsidDel="00000000" w:rsidR="00000000" w:rsidRPr="00000000">
              <w:rPr>
                <w:rtl w:val="0"/>
              </w:rPr>
            </w:r>
          </w:p>
          <w:p w:rsidR="00000000" w:rsidDel="00000000" w:rsidP="00000000" w:rsidRDefault="00000000" w:rsidRPr="00000000" w14:paraId="0000002D">
            <w:pPr>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Tel. 3404187646</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0000000000002" w:top="1440.0000000000002" w:left="1133.8582677165355" w:right="1133.858267716535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-800099</wp:posOffset>
          </wp:positionH>
          <wp:positionV relativeFrom="paragraph">
            <wp:posOffset>9048750</wp:posOffset>
          </wp:positionV>
          <wp:extent cx="7434263" cy="2108084"/>
          <wp:effectExtent b="0" l="0" r="0" t="0"/>
          <wp:wrapTopAndBottom distB="114300" distT="1143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434263" cy="21080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left="-141.73228346456688" w:right="-149.5275590551165" w:hanging="1133.8582677165355"/>
      <w:rPr/>
    </w:pPr>
    <w:r w:rsidDel="00000000" w:rsidR="00000000" w:rsidRPr="00000000">
      <w:rPr/>
      <w:drawing>
        <wp:inline distB="57150" distT="57150" distL="57150" distR="57150">
          <wp:extent cx="7635977" cy="1443600"/>
          <wp:effectExtent b="0" l="0" r="0" t="0"/>
          <wp:docPr id="1" name="image1.png"/>
          <a:graphic>
            <a:graphicData uri="http://schemas.openxmlformats.org/drawingml/2006/picture">
              <pic:pic>
                <pic:nvPicPr>
                  <pic:cNvPr id="0" name="image1.png"/>
                  <pic:cNvPicPr preferRelativeResize="0"/>
                </pic:nvPicPr>
                <pic:blipFill>
                  <a:blip r:embed="rId1"/>
                  <a:srcRect b="0" l="557" r="557" t="0"/>
                  <a:stretch>
                    <a:fillRect/>
                  </a:stretch>
                </pic:blipFill>
                <pic:spPr>
                  <a:xfrm>
                    <a:off x="0" y="0"/>
                    <a:ext cx="7635977" cy="1443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anchor allowOverlap="1" behindDoc="0" distB="57150" distT="57150" distL="57150" distR="57150" hidden="0" layoutInCell="1" locked="0" relativeHeight="0" simplePos="0">
          <wp:simplePos x="0" y="0"/>
          <wp:positionH relativeFrom="page">
            <wp:posOffset>-15711</wp:posOffset>
          </wp:positionH>
          <wp:positionV relativeFrom="page">
            <wp:posOffset>-28574</wp:posOffset>
          </wp:positionV>
          <wp:extent cx="7595101" cy="2157413"/>
          <wp:effectExtent b="0" l="0" r="0" t="0"/>
          <wp:wrapTopAndBottom distB="57150" distT="57150"/>
          <wp:docPr id="3" name="image2.png"/>
          <a:graphic>
            <a:graphicData uri="http://schemas.openxmlformats.org/drawingml/2006/picture">
              <pic:pic>
                <pic:nvPicPr>
                  <pic:cNvPr id="0" name="image2.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anchor allowOverlap="1" behindDoc="0" distB="57150" distT="57150" distL="57150" distR="57150" hidden="0" layoutInCell="1" locked="0" relativeHeight="0" simplePos="0">
          <wp:simplePos x="0" y="0"/>
          <wp:positionH relativeFrom="page">
            <wp:posOffset>-15712</wp:posOffset>
          </wp:positionH>
          <wp:positionV relativeFrom="page">
            <wp:posOffset>-66674</wp:posOffset>
          </wp:positionV>
          <wp:extent cx="7595101" cy="2157413"/>
          <wp:effectExtent b="0" l="0" r="0" t="0"/>
          <wp:wrapTopAndBottom distB="57150" distT="57150"/>
          <wp:docPr id="2" name="image2.png"/>
          <a:graphic>
            <a:graphicData uri="http://schemas.openxmlformats.org/drawingml/2006/picture">
              <pic:pic>
                <pic:nvPicPr>
                  <pic:cNvPr id="0" name="image2.png"/>
                  <pic:cNvPicPr preferRelativeResize="0"/>
                </pic:nvPicPr>
                <pic:blipFill>
                  <a:blip r:embed="rId1"/>
                  <a:srcRect b="69" l="0" r="0" t="69"/>
                  <a:stretch>
                    <a:fillRect/>
                  </a:stretch>
                </pic:blipFill>
                <pic:spPr>
                  <a:xfrm>
                    <a:off x="0" y="0"/>
                    <a:ext cx="7595101" cy="21574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ufficiostampa@borgatedalvivo.it"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